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BEBE" w14:textId="77777777" w:rsidR="008F7CB4" w:rsidRPr="00D4489E" w:rsidRDefault="00D83343" w:rsidP="00D4489E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Ύλη εξεταζόμενων μαθημάτων για κατατακτήριες εξετάσεις Τμήματος Φυσικής</w:t>
      </w:r>
    </w:p>
    <w:p w14:paraId="65497017" w14:textId="77777777" w:rsidR="00D4489E" w:rsidRDefault="00D4489E">
      <w:pPr>
        <w:rPr>
          <w:lang w:val="el-GR"/>
        </w:rPr>
      </w:pPr>
    </w:p>
    <w:p w14:paraId="4D5DFFDE" w14:textId="77777777" w:rsidR="00D4489E" w:rsidRPr="00D4489E" w:rsidRDefault="00D4489E" w:rsidP="00D4489E">
      <w:pPr>
        <w:rPr>
          <w:lang w:val="el-GR"/>
        </w:rPr>
      </w:pPr>
      <w:r w:rsidRPr="00D4489E">
        <w:rPr>
          <w:lang w:val="el-GR"/>
        </w:rPr>
        <w:t xml:space="preserve">Στο Τμήμα Φυσικής του Πανεπιστημίου </w:t>
      </w:r>
      <w:r>
        <w:rPr>
          <w:lang w:val="el-GR"/>
        </w:rPr>
        <w:t>Πατρών</w:t>
      </w:r>
      <w:r w:rsidRPr="00D4489E">
        <w:rPr>
          <w:lang w:val="el-GR"/>
        </w:rPr>
        <w:t xml:space="preserve"> οι κατατάξεις πτυχιούχων γίνονται σύμφωνα με τις διατάξεις τ</w:t>
      </w:r>
      <w:r w:rsidR="00A11740">
        <w:rPr>
          <w:lang w:val="el-GR"/>
        </w:rPr>
        <w:t>ου Εσωτερικού Κανονισμού του Πανεπιστημίου Πατρών (ΦΕΚ 3899/25-10-2019, τ. Β’, άρθρο 25).</w:t>
      </w:r>
      <w:r w:rsidR="00F1274F">
        <w:rPr>
          <w:lang w:val="el-GR"/>
        </w:rPr>
        <w:t xml:space="preserve"> Οι ακριβείς ημερομηνίες διεξαγωγής των εξετάσεων</w:t>
      </w:r>
      <w:r w:rsidR="005565DB">
        <w:rPr>
          <w:lang w:val="el-GR"/>
        </w:rPr>
        <w:t xml:space="preserve">, η επιτροπή διεξαγωγής των εξετάσεων και η προτεινόμενη βιβλιογραφία, </w:t>
      </w:r>
      <w:r w:rsidR="00F1274F">
        <w:rPr>
          <w:lang w:val="el-GR"/>
        </w:rPr>
        <w:t xml:space="preserve">αποφασίζονται κάθε χρόνο από τη Γ.Σ. του Τμήματος, με τον περιορισμό </w:t>
      </w:r>
      <w:r w:rsidR="005565DB">
        <w:rPr>
          <w:lang w:val="el-GR"/>
        </w:rPr>
        <w:t xml:space="preserve">οι εξετάσεις </w:t>
      </w:r>
      <w:r w:rsidR="00F1274F">
        <w:rPr>
          <w:lang w:val="el-GR"/>
        </w:rPr>
        <w:t xml:space="preserve">να έχουν ολοκληρωθεί μέχρι την ημερομηνία διακοπής των μαθημάτων </w:t>
      </w:r>
      <w:r w:rsidR="005565DB">
        <w:rPr>
          <w:lang w:val="el-GR"/>
        </w:rPr>
        <w:t>για τις εορτές των Χριστουγέννων.</w:t>
      </w:r>
    </w:p>
    <w:p w14:paraId="2A2DB580" w14:textId="77777777" w:rsidR="00D4489E" w:rsidRDefault="00D4489E" w:rsidP="00D4489E">
      <w:pPr>
        <w:rPr>
          <w:lang w:val="el-GR"/>
        </w:rPr>
      </w:pPr>
      <w:r w:rsidRPr="00D4489E">
        <w:rPr>
          <w:lang w:val="el-GR"/>
        </w:rPr>
        <w:t xml:space="preserve">Κατηγορίες κατατασσόμενων: πτυχιούχοι Πανεπιστημίου, Τ.Ε.Ι. ή ισοτίμων προς αυτά, Α.Σ.ΠΑΙ.Τ.Ε., της Ελλάδος ή του εξωτερικού (αναγνωρισμένα από το Δ.Ο.Α.Τ.Α.Π.) καθώς και των κατόχων πτυχίων ανώτερων σχολών </w:t>
      </w:r>
      <w:proofErr w:type="spellStart"/>
      <w:r w:rsidRPr="00D4489E">
        <w:rPr>
          <w:lang w:val="el-GR"/>
        </w:rPr>
        <w:t>υπερδιετούς</w:t>
      </w:r>
      <w:proofErr w:type="spellEnd"/>
      <w:r w:rsidRPr="00D4489E">
        <w:rPr>
          <w:lang w:val="el-GR"/>
        </w:rPr>
        <w:t xml:space="preserve"> και διετούς κύκλου σπουδών αρμοδιότητας Υπουργείου Παιδείας και Θρησκευμάτων και άλλων Υπουργείων, σε ποσοστό 12% επί του αριθμού εισακτέων (σύμφωνα με το άρθρο 1 της ΥΑ Φ1/192329/Β3).</w:t>
      </w:r>
    </w:p>
    <w:p w14:paraId="3698BEC6" w14:textId="77777777" w:rsidR="00D4489E" w:rsidRDefault="00D4489E" w:rsidP="00D4489E">
      <w:pPr>
        <w:rPr>
          <w:lang w:val="el-GR"/>
        </w:rPr>
      </w:pPr>
      <w:r>
        <w:rPr>
          <w:lang w:val="el-GR"/>
        </w:rPr>
        <w:t xml:space="preserve">Βάσει της ισχύουσας νομοθεσίας, οι </w:t>
      </w:r>
      <w:r w:rsidRPr="00D4489E">
        <w:rPr>
          <w:lang w:val="el-GR"/>
        </w:rPr>
        <w:t>κατατακτήριες εξετάσεις με θέματα ανάπτυξης σε τρία μαθήματα</w:t>
      </w:r>
      <w:r>
        <w:rPr>
          <w:lang w:val="el-GR"/>
        </w:rPr>
        <w:t xml:space="preserve">. </w:t>
      </w:r>
      <w:r w:rsidR="00A11740">
        <w:rPr>
          <w:lang w:val="el-GR"/>
        </w:rPr>
        <w:t>Προτείνεται οι υποψήφιοι να εξετάζονται στα ακόλουθα</w:t>
      </w:r>
      <w:r w:rsidR="005565DB">
        <w:rPr>
          <w:lang w:val="el-GR"/>
        </w:rPr>
        <w:t xml:space="preserve"> τρία</w:t>
      </w:r>
      <w:r w:rsidR="00A11740">
        <w:rPr>
          <w:lang w:val="el-GR"/>
        </w:rPr>
        <w:t xml:space="preserve"> μαθήματα:</w:t>
      </w: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1451"/>
        <w:gridCol w:w="7763"/>
      </w:tblGrid>
      <w:tr w:rsidR="005565DB" w14:paraId="7A21F5B5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1CDB9284" w14:textId="77777777" w:rsidR="005565DB" w:rsidRPr="00026E0C" w:rsidRDefault="005565DB" w:rsidP="005C09DA">
            <w:pPr>
              <w:rPr>
                <w:rFonts w:ascii="Calibri" w:eastAsia="Calibri" w:hAnsi="Calibri" w:cs="Times New Roman"/>
                <w:b/>
              </w:rPr>
            </w:pPr>
            <w:r w:rsidRPr="00227B5F">
              <w:rPr>
                <w:b/>
              </w:rPr>
              <w:t>PCC101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E908A9A" w14:textId="77777777" w:rsidR="005565DB" w:rsidRPr="00227B5F" w:rsidRDefault="005565DB" w:rsidP="005C09DA">
            <w:pPr>
              <w:ind w:left="3600" w:hanging="360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b/>
              </w:rPr>
              <w:t>Μηχ</w:t>
            </w:r>
            <w:proofErr w:type="spellEnd"/>
            <w:r>
              <w:rPr>
                <w:b/>
              </w:rPr>
              <w:t xml:space="preserve">ανική – </w:t>
            </w:r>
            <w:proofErr w:type="spellStart"/>
            <w:r>
              <w:rPr>
                <w:b/>
              </w:rPr>
              <w:t>Ρευστομηχ</w:t>
            </w:r>
            <w:proofErr w:type="spellEnd"/>
            <w:r>
              <w:rPr>
                <w:b/>
              </w:rPr>
              <w:t>ανική</w:t>
            </w:r>
          </w:p>
        </w:tc>
      </w:tr>
      <w:tr w:rsidR="005565DB" w:rsidRPr="00D83343" w14:paraId="733A99D8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DC10B3" w14:textId="77777777" w:rsidR="005565DB" w:rsidRPr="00DD61A4" w:rsidRDefault="005565DB" w:rsidP="005C09DA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Περιεχόμεν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>α μα</w:t>
            </w: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θήμ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 xml:space="preserve">ατος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2C7964E4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1.Μονάδες, φυσικές ποσότητες και διανύσματα.</w:t>
            </w:r>
          </w:p>
          <w:p w14:paraId="48204BB4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2. Ευθύγραμμη κίνηση.  </w:t>
            </w:r>
          </w:p>
          <w:p w14:paraId="1A05202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3. Κίνηση σε δύο ή τρεις διαστάσεις.   </w:t>
            </w:r>
          </w:p>
          <w:p w14:paraId="51AFDB0D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4. Νόμοι του Νεύτωνα.  </w:t>
            </w:r>
          </w:p>
          <w:p w14:paraId="62735BDC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5. Εφαρμογές των νόμων του Νεύτωνα.   </w:t>
            </w:r>
          </w:p>
          <w:p w14:paraId="7E97F477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6. Έργο και κινητική ενέργεια.       </w:t>
            </w:r>
          </w:p>
          <w:p w14:paraId="268A6880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7. Δυναμική ενέργεια και διατήρηση της ενέργειας.  </w:t>
            </w:r>
          </w:p>
          <w:p w14:paraId="26D7C64D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8. Ορμή, ώθηση και κρούσεις.  </w:t>
            </w:r>
          </w:p>
          <w:p w14:paraId="3EDF3C9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9. Περιστροφική κίνηση στερεών σωμάτων.  </w:t>
            </w:r>
          </w:p>
          <w:p w14:paraId="1524EED6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10. Δυναμική της περιστροφικής κίνησης.  </w:t>
            </w:r>
          </w:p>
          <w:p w14:paraId="44EB4A21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11. Ισορροπία και ελαστικότητα.</w:t>
            </w:r>
          </w:p>
          <w:p w14:paraId="1187AB48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12. Βαρύτητα.</w:t>
            </w:r>
          </w:p>
          <w:p w14:paraId="1CC2B416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13. Περιοδική κίνηση.   </w:t>
            </w:r>
          </w:p>
          <w:p w14:paraId="74837C0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14. Μηχανική των ρευστών.</w:t>
            </w:r>
          </w:p>
        </w:tc>
      </w:tr>
      <w:tr w:rsidR="005565DB" w:rsidRPr="00D83343" w14:paraId="5DF57091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2CEA62" w14:textId="77777777" w:rsidR="005565DB" w:rsidRPr="00DD61A4" w:rsidRDefault="00583D6C" w:rsidP="005C09DA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lang w:val="el-GR"/>
              </w:rPr>
              <w:t xml:space="preserve">Ενδεικτική </w:t>
            </w:r>
            <w:proofErr w:type="spellStart"/>
            <w:r w:rsidR="005565DB" w:rsidRPr="00DD61A4">
              <w:rPr>
                <w:rFonts w:ascii="Calibri" w:eastAsia="Calibri" w:hAnsi="Calibri" w:cs="Times New Roman"/>
                <w:i/>
              </w:rPr>
              <w:t>Βι</w:t>
            </w:r>
            <w:proofErr w:type="spellEnd"/>
            <w:r w:rsidR="005565DB" w:rsidRPr="00DD61A4">
              <w:rPr>
                <w:rFonts w:ascii="Calibri" w:eastAsia="Calibri" w:hAnsi="Calibri" w:cs="Times New Roman"/>
                <w:i/>
              </w:rPr>
              <w:t>βλιογραφία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8286F45" w14:textId="77777777" w:rsidR="005565DB" w:rsidRPr="005565DB" w:rsidRDefault="005565DB" w:rsidP="005C09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l-GR"/>
              </w:rPr>
            </w:pP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1. ΦΥΣΙΚΗ ΓΙΑ ΕΠΙΣΤΗΜΟΝΕΣ ΚΑΙ ΜΗΧΑΝΙΚΟΥΣ,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R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. </w:t>
            </w:r>
            <w:proofErr w:type="spellStart"/>
            <w:r w:rsidRPr="009E32EF">
              <w:rPr>
                <w:rFonts w:ascii="Calibri" w:hAnsi="Calibri" w:cs="Calibri"/>
                <w:color w:val="000000"/>
                <w:lang w:val="en-US"/>
              </w:rPr>
              <w:t>Serway</w:t>
            </w:r>
            <w:proofErr w:type="spellEnd"/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,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J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.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Jewett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 (Μετάφραση Χ. </w:t>
            </w:r>
            <w:proofErr w:type="spellStart"/>
            <w:r w:rsidRPr="005565DB">
              <w:rPr>
                <w:rFonts w:ascii="Calibri" w:hAnsi="Calibri" w:cs="Calibri"/>
                <w:color w:val="000000"/>
                <w:lang w:val="el-GR"/>
              </w:rPr>
              <w:t>Βάρβογλης</w:t>
            </w:r>
            <w:proofErr w:type="spellEnd"/>
            <w:r w:rsidRPr="005565DB">
              <w:rPr>
                <w:rFonts w:ascii="Calibri" w:hAnsi="Calibri" w:cs="Calibri"/>
                <w:color w:val="000000"/>
                <w:lang w:val="el-GR"/>
              </w:rPr>
              <w:t>), ΚΛΕΙΔΑΡΙΘΜΟΣ ΕΠΕ</w:t>
            </w:r>
          </w:p>
          <w:p w14:paraId="62417059" w14:textId="77777777" w:rsidR="005565DB" w:rsidRPr="005565DB" w:rsidRDefault="005565DB" w:rsidP="005C09D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l-GR"/>
              </w:rPr>
            </w:pPr>
            <w:r w:rsidRPr="005565DB">
              <w:rPr>
                <w:rFonts w:ascii="Calibri" w:hAnsi="Calibri" w:cs="Calibri"/>
                <w:color w:val="000000"/>
                <w:lang w:val="el-GR"/>
              </w:rPr>
              <w:lastRenderedPageBreak/>
              <w:t xml:space="preserve">2. ΦΥΣΙΚΗ (Τόμος 1 Εκδ.4η),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Halliday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,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Resnick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,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Walker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, Εκδόσεις </w:t>
            </w:r>
            <w:r w:rsidRPr="009E32EF">
              <w:rPr>
                <w:rFonts w:ascii="Calibri" w:hAnsi="Calibri" w:cs="Calibri"/>
                <w:color w:val="000000"/>
                <w:lang w:val="en-US"/>
              </w:rPr>
              <w:t>Gutenberg</w:t>
            </w:r>
            <w:r w:rsidRPr="005565DB">
              <w:rPr>
                <w:rFonts w:ascii="Calibri" w:hAnsi="Calibri" w:cs="Calibri"/>
                <w:color w:val="000000"/>
                <w:lang w:val="el-GR"/>
              </w:rPr>
              <w:t xml:space="preserve"> </w:t>
            </w:r>
          </w:p>
          <w:p w14:paraId="037FEEB6" w14:textId="77777777" w:rsidR="005565DB" w:rsidRPr="009E32EF" w:rsidRDefault="005565DB" w:rsidP="005C09DA">
            <w:pPr>
              <w:pStyle w:val="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3. 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Sears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9E32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Zemansky</w:t>
            </w:r>
            <w:proofErr w:type="spellEnd"/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Πανεπιστημιακή Φυσική με Σύγχρονη Φυσική, Τόμος Α,  Μηχανική-Κύματα, Θερμοδυναμική, 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Young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Freedman</w:t>
            </w:r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Εκδόσεις </w:t>
            </w:r>
            <w:proofErr w:type="spellStart"/>
            <w:r w:rsidRPr="009E32EF">
              <w:rPr>
                <w:rFonts w:ascii="Calibri" w:hAnsi="Calibri" w:cs="Calibri"/>
                <w:color w:val="000000"/>
                <w:sz w:val="22"/>
                <w:szCs w:val="22"/>
              </w:rPr>
              <w:t>Παπαζήση</w:t>
            </w:r>
            <w:proofErr w:type="spellEnd"/>
          </w:p>
        </w:tc>
      </w:tr>
    </w:tbl>
    <w:p w14:paraId="2BEC4A36" w14:textId="77777777" w:rsidR="005565DB" w:rsidRPr="005565DB" w:rsidRDefault="005565DB" w:rsidP="005565DB">
      <w:pPr>
        <w:rPr>
          <w:lang w:val="el-GR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1451"/>
        <w:gridCol w:w="7763"/>
      </w:tblGrid>
      <w:tr w:rsidR="005565DB" w14:paraId="6AC58196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2E7C3CC" w14:textId="77777777" w:rsidR="005565DB" w:rsidRPr="00227B5F" w:rsidRDefault="005565DB" w:rsidP="005C09DA">
            <w:pPr>
              <w:rPr>
                <w:rFonts w:ascii="Calibri" w:eastAsia="Calibri" w:hAnsi="Calibri" w:cs="Times New Roman"/>
                <w:b/>
                <w:lang w:val="en-US"/>
              </w:rPr>
            </w:pPr>
            <w:r>
              <w:rPr>
                <w:b/>
                <w:lang w:val="en-US"/>
              </w:rPr>
              <w:t>M</w:t>
            </w:r>
            <w:r w:rsidRPr="00227B5F">
              <w:rPr>
                <w:b/>
              </w:rPr>
              <w:t>CC10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04F3C35" w14:textId="77777777" w:rsidR="005565DB" w:rsidRPr="00227B5F" w:rsidRDefault="005565DB" w:rsidP="005C09DA">
            <w:pPr>
              <w:ind w:left="3600" w:hanging="3600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b/>
              </w:rPr>
              <w:t>Μα</w:t>
            </w:r>
            <w:proofErr w:type="spellStart"/>
            <w:r>
              <w:rPr>
                <w:b/>
              </w:rPr>
              <w:t>θημ</w:t>
            </w:r>
            <w:proofErr w:type="spellEnd"/>
            <w:r>
              <w:rPr>
                <w:b/>
              </w:rPr>
              <w:t xml:space="preserve">ατική </w:t>
            </w:r>
            <w:proofErr w:type="spellStart"/>
            <w:r>
              <w:rPr>
                <w:b/>
              </w:rPr>
              <w:t>Ανάλυση</w:t>
            </w:r>
            <w:proofErr w:type="spellEnd"/>
          </w:p>
        </w:tc>
      </w:tr>
      <w:tr w:rsidR="005565DB" w:rsidRPr="00026E0C" w14:paraId="3D7278EB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6094A82" w14:textId="77777777" w:rsidR="005565DB" w:rsidRPr="00DD61A4" w:rsidRDefault="005565DB" w:rsidP="005C09DA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Περιεχόμεν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>α μα</w:t>
            </w: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θήμ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 xml:space="preserve">ατος 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1D7C302D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1. Αριθμοί.</w:t>
            </w:r>
          </w:p>
          <w:p w14:paraId="4050E4BF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2. Συναρτήσεις μιας Ανεξάρτητης Μεταβλητής.</w:t>
            </w:r>
          </w:p>
          <w:p w14:paraId="7A644847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3. Όριο και Συνέχεια Συνάρτησης.</w:t>
            </w:r>
          </w:p>
          <w:p w14:paraId="7435C446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4. </w:t>
            </w:r>
            <w:proofErr w:type="spellStart"/>
            <w:r w:rsidRPr="005565DB">
              <w:rPr>
                <w:rFonts w:eastAsia="Times New Roman" w:cs="Arial"/>
                <w:snapToGrid w:val="0"/>
                <w:lang w:val="el-GR" w:eastAsia="el-GR"/>
              </w:rPr>
              <w:t>Παραγώγιση</w:t>
            </w:r>
            <w:proofErr w:type="spellEnd"/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 Συναρτήσεων. </w:t>
            </w:r>
          </w:p>
          <w:p w14:paraId="4DB7B4A1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5. Εφαρμογές των Παραγώγων στη Μελέτη Συναρτήσεων.</w:t>
            </w:r>
          </w:p>
          <w:p w14:paraId="1B99606E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6. Σειρές.</w:t>
            </w:r>
          </w:p>
          <w:p w14:paraId="66150A90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7. Αόριστα και Ορισμένα Ολοκληρώματα. </w:t>
            </w:r>
          </w:p>
          <w:p w14:paraId="504335C4" w14:textId="77777777" w:rsidR="005565DB" w:rsidRPr="00227B5F" w:rsidRDefault="005565DB" w:rsidP="005C09DA">
            <w:pPr>
              <w:rPr>
                <w:rFonts w:eastAsia="Times New Roman" w:cs="Arial"/>
                <w:snapToGrid w:val="0"/>
                <w:lang w:eastAsia="el-GR"/>
              </w:rPr>
            </w:pPr>
            <w:r>
              <w:rPr>
                <w:rFonts w:eastAsia="Times New Roman" w:cs="Arial"/>
                <w:snapToGrid w:val="0"/>
                <w:lang w:eastAsia="el-GR"/>
              </w:rPr>
              <w:t>8.</w:t>
            </w:r>
            <w:r w:rsidRPr="00AC140B">
              <w:rPr>
                <w:rFonts w:eastAsia="Times New Roman" w:cs="Arial"/>
                <w:snapToGrid w:val="0"/>
                <w:lang w:eastAsia="el-GR"/>
              </w:rPr>
              <w:t xml:space="preserve"> </w:t>
            </w:r>
            <w:proofErr w:type="spellStart"/>
            <w:r w:rsidRPr="00AC140B">
              <w:rPr>
                <w:rFonts w:eastAsia="Times New Roman" w:cs="Arial"/>
                <w:snapToGrid w:val="0"/>
                <w:lang w:eastAsia="el-GR"/>
              </w:rPr>
              <w:t>Εφ</w:t>
            </w:r>
            <w:proofErr w:type="spellEnd"/>
            <w:r w:rsidRPr="00AC140B">
              <w:rPr>
                <w:rFonts w:eastAsia="Times New Roman" w:cs="Arial"/>
                <w:snapToGrid w:val="0"/>
                <w:lang w:eastAsia="el-GR"/>
              </w:rPr>
              <w:t>αρμογές.</w:t>
            </w:r>
          </w:p>
        </w:tc>
      </w:tr>
      <w:tr w:rsidR="005565DB" w:rsidRPr="00D83343" w14:paraId="2B424169" w14:textId="77777777" w:rsidTr="005C09DA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95AB9B" w14:textId="77777777" w:rsidR="005565DB" w:rsidRPr="00DD61A4" w:rsidRDefault="00583D6C" w:rsidP="005C09DA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lang w:val="el-GR"/>
              </w:rPr>
              <w:t xml:space="preserve">Ενδεικτική </w:t>
            </w: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Βι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>βλιογραφία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67E54A26" w14:textId="77777777" w:rsidR="005565DB" w:rsidRPr="00406C84" w:rsidRDefault="005565DB" w:rsidP="005C09DA">
            <w:pPr>
              <w:pStyle w:val="v1msonormal"/>
              <w:spacing w:before="0" w:beforeAutospacing="0" w:after="0" w:afterAutospacing="0" w:line="253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1. Γεωργίου Δημήτριος, Ηλιάδης Σταύρος, </w:t>
            </w:r>
            <w:proofErr w:type="spellStart"/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Μεγαρίτης</w:t>
            </w:r>
            <w:proofErr w:type="spellEnd"/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Αθανάσιος Πραγματική Ανάλυση, ΕΚΔΟΣΕΙΣ Α. ΤΖΙΟΛΑ &amp; ΥΙΟΙ Α.Ε., 2021</w:t>
            </w:r>
          </w:p>
          <w:p w14:paraId="625A82EC" w14:textId="77777777" w:rsidR="005565DB" w:rsidRPr="00406C84" w:rsidRDefault="005565DB" w:rsidP="005C09DA">
            <w:pPr>
              <w:pStyle w:val="v1msonormal"/>
              <w:spacing w:before="0" w:beforeAutospacing="0" w:after="0" w:afterAutospacing="0" w:line="253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2. Ζαφειρόπουλος Βασίλειος, Μαθηματική Ανάλυση, Εταιρεία Αξιοποίησης και Διαχείρισης Περιουσίας Πανεπιστημίου Πατρών, 2012</w:t>
            </w:r>
          </w:p>
          <w:p w14:paraId="455D7FE2" w14:textId="77777777" w:rsidR="005565DB" w:rsidRPr="00406C84" w:rsidRDefault="005565DB" w:rsidP="005C09DA">
            <w:pPr>
              <w:pStyle w:val="v1msonormal"/>
              <w:spacing w:before="0" w:beforeAutospacing="0" w:after="0" w:afterAutospacing="0" w:line="253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</w:pPr>
            <w:r w:rsidRPr="00406C8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3.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Briggs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William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Cochran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Lyle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Gillett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Bernard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, Απειροστικός Λογισμός,</w:t>
            </w:r>
            <w:r w:rsidRPr="00583D6C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Κριτική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, 2018</w:t>
            </w:r>
          </w:p>
          <w:p w14:paraId="2EFFED60" w14:textId="77777777" w:rsidR="005565DB" w:rsidRPr="00406C84" w:rsidRDefault="005565DB" w:rsidP="005C09DA">
            <w:pPr>
              <w:pStyle w:val="v1msonormal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4.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George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Thomas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Jr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Joel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Hass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Christopher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Heil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,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Maurice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. 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Weir</w:t>
            </w:r>
            <w:r w:rsidRPr="00406C84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,</w:t>
            </w:r>
            <w:r w:rsidRPr="00406C84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THOMAS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 xml:space="preserve"> Απειροστικός Λογισμός,</w:t>
            </w:r>
            <w:r w:rsidRPr="00406C84">
              <w:rPr>
                <w:rStyle w:val="apple-converted-spac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406C84">
              <w:rPr>
                <w:rFonts w:asciiTheme="minorHAnsi" w:hAnsiTheme="minorHAnsi" w:cstheme="minorHAnsi"/>
                <w:color w:val="000000"/>
                <w:sz w:val="22"/>
                <w:szCs w:val="22"/>
                <w:lang w:val="el-GR"/>
              </w:rPr>
              <w:t>ΙΤΕ-ΠΑΝΕΠΙΣΤΗΜΙΑΚΕΣ ΕΚΔΟΣΕΙΣ ΚΡΗΤΗΣ, 2018</w:t>
            </w:r>
          </w:p>
        </w:tc>
      </w:tr>
    </w:tbl>
    <w:p w14:paraId="27D42234" w14:textId="77777777" w:rsidR="005565DB" w:rsidRPr="005565DB" w:rsidRDefault="005565DB" w:rsidP="005565DB">
      <w:pPr>
        <w:rPr>
          <w:lang w:val="el-GR"/>
        </w:rPr>
      </w:pPr>
    </w:p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1451"/>
        <w:gridCol w:w="7763"/>
      </w:tblGrid>
      <w:tr w:rsidR="005565DB" w14:paraId="5814ED1A" w14:textId="77777777" w:rsidTr="005C09DA"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1030DC31" w14:textId="77777777" w:rsidR="005565DB" w:rsidRPr="00026E0C" w:rsidRDefault="005565DB" w:rsidP="005C09DA">
            <w:pPr>
              <w:rPr>
                <w:rFonts w:ascii="Calibri" w:eastAsia="Calibri" w:hAnsi="Calibri" w:cs="Times New Roman"/>
                <w:b/>
              </w:rPr>
            </w:pPr>
            <w:r>
              <w:rPr>
                <w:b/>
              </w:rPr>
              <w:t>Μ</w:t>
            </w:r>
            <w:r w:rsidRPr="00227B5F">
              <w:rPr>
                <w:b/>
              </w:rPr>
              <w:t>CC10</w:t>
            </w:r>
            <w:r>
              <w:rPr>
                <w:b/>
              </w:rPr>
              <w:t>5</w:t>
            </w: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3D7BF93A" w14:textId="77777777" w:rsidR="005565DB" w:rsidRPr="00227B5F" w:rsidRDefault="005565DB" w:rsidP="005C09DA">
            <w:pPr>
              <w:ind w:left="3600" w:hanging="3600"/>
              <w:rPr>
                <w:rFonts w:ascii="Calibri" w:eastAsia="Calibri" w:hAnsi="Calibri" w:cs="Times New Roman"/>
                <w:b/>
                <w:bCs/>
              </w:rPr>
            </w:pPr>
            <w:proofErr w:type="spellStart"/>
            <w:r>
              <w:rPr>
                <w:b/>
              </w:rPr>
              <w:t>Γρ</w:t>
            </w:r>
            <w:proofErr w:type="spellEnd"/>
            <w:r>
              <w:rPr>
                <w:b/>
              </w:rPr>
              <w:t xml:space="preserve">αμμική </w:t>
            </w:r>
            <w:proofErr w:type="spellStart"/>
            <w:r>
              <w:rPr>
                <w:b/>
              </w:rPr>
              <w:t>Άλγε</w:t>
            </w:r>
            <w:proofErr w:type="spellEnd"/>
            <w:r>
              <w:rPr>
                <w:b/>
              </w:rPr>
              <w:t xml:space="preserve">βρα – </w:t>
            </w:r>
            <w:proofErr w:type="spellStart"/>
            <w:r>
              <w:rPr>
                <w:b/>
              </w:rPr>
              <w:t>Αν</w:t>
            </w:r>
            <w:proofErr w:type="spellEnd"/>
            <w:r>
              <w:rPr>
                <w:b/>
              </w:rPr>
              <w:t xml:space="preserve">αλυτική </w:t>
            </w:r>
            <w:proofErr w:type="spellStart"/>
            <w:r>
              <w:rPr>
                <w:b/>
              </w:rPr>
              <w:t>Γεωμετρί</w:t>
            </w:r>
            <w:proofErr w:type="spellEnd"/>
            <w:r>
              <w:rPr>
                <w:b/>
              </w:rPr>
              <w:t>α</w:t>
            </w:r>
          </w:p>
        </w:tc>
      </w:tr>
      <w:tr w:rsidR="005565DB" w:rsidRPr="00D83343" w14:paraId="6901E590" w14:textId="77777777" w:rsidTr="005C09DA"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35D8DFC7" w14:textId="77777777" w:rsidR="005565DB" w:rsidRPr="00DD61A4" w:rsidRDefault="005565DB" w:rsidP="005C09DA">
            <w:pPr>
              <w:rPr>
                <w:rFonts w:ascii="Calibri" w:eastAsia="Calibri" w:hAnsi="Calibri" w:cs="Times New Roman"/>
                <w:i/>
              </w:rPr>
            </w:pP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Περιεχόμεν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>α μα</w:t>
            </w: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θήμ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 xml:space="preserve">ατος </w:t>
            </w: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14:paraId="5C0DAD42" w14:textId="77777777" w:rsidR="005565DB" w:rsidRPr="005565DB" w:rsidRDefault="005565DB" w:rsidP="005C09DA">
            <w:pPr>
              <w:rPr>
                <w:rFonts w:eastAsia="Times New Roman" w:cs="Arial"/>
                <w:b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b/>
                <w:snapToGrid w:val="0"/>
                <w:lang w:val="el-GR" w:eastAsia="el-GR"/>
              </w:rPr>
              <w:t>Α. Γραμμική Άλγεβρα</w:t>
            </w:r>
          </w:p>
          <w:p w14:paraId="13BCA042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1. Αλγεβρικές Δομές</w:t>
            </w:r>
          </w:p>
          <w:p w14:paraId="465CD14D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2. Άλγεβρα Πινάκων - Ορίζουσες</w:t>
            </w:r>
          </w:p>
          <w:p w14:paraId="71D66231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3. Γραμμικά Συστήματα</w:t>
            </w:r>
          </w:p>
          <w:p w14:paraId="4881EF3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4. Διανυσματικοί Χώροι</w:t>
            </w:r>
          </w:p>
          <w:p w14:paraId="3BC386F8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5. Διανυσματικοί Χώροι Εσωτερικού Γινομένου</w:t>
            </w:r>
          </w:p>
          <w:p w14:paraId="571DBE72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6. Γραμμικοί Μετασχηματισμοί και Τελεστές</w:t>
            </w:r>
          </w:p>
          <w:p w14:paraId="2B1FF9E6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7. </w:t>
            </w:r>
            <w:proofErr w:type="spellStart"/>
            <w:r w:rsidRPr="005565DB">
              <w:rPr>
                <w:rFonts w:eastAsia="Times New Roman" w:cs="Arial"/>
                <w:snapToGrid w:val="0"/>
                <w:lang w:val="el-GR" w:eastAsia="el-GR"/>
              </w:rPr>
              <w:t>Ιδιοτιμές</w:t>
            </w:r>
            <w:proofErr w:type="spellEnd"/>
            <w:r w:rsidRPr="005565DB">
              <w:rPr>
                <w:rFonts w:eastAsia="Times New Roman" w:cs="Arial"/>
                <w:snapToGrid w:val="0"/>
                <w:lang w:val="el-GR" w:eastAsia="el-GR"/>
              </w:rPr>
              <w:t xml:space="preserve"> και </w:t>
            </w:r>
            <w:proofErr w:type="spellStart"/>
            <w:r w:rsidRPr="005565DB">
              <w:rPr>
                <w:rFonts w:eastAsia="Times New Roman" w:cs="Arial"/>
                <w:snapToGrid w:val="0"/>
                <w:lang w:val="el-GR" w:eastAsia="el-GR"/>
              </w:rPr>
              <w:t>ιδιοδιανύσματα</w:t>
            </w:r>
            <w:proofErr w:type="spellEnd"/>
          </w:p>
          <w:p w14:paraId="04C2C845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</w:p>
          <w:p w14:paraId="3F89BF21" w14:textId="77777777" w:rsidR="005565DB" w:rsidRPr="005565DB" w:rsidRDefault="005565DB" w:rsidP="005C09DA">
            <w:pPr>
              <w:rPr>
                <w:rFonts w:eastAsia="Times New Roman" w:cs="Arial"/>
                <w:b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b/>
                <w:snapToGrid w:val="0"/>
                <w:lang w:val="el-GR" w:eastAsia="el-GR"/>
              </w:rPr>
              <w:lastRenderedPageBreak/>
              <w:t>Β. Αναλυτική Γεωμετρία</w:t>
            </w:r>
          </w:p>
          <w:p w14:paraId="22763A71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1. Σημείο στο χώρο</w:t>
            </w:r>
          </w:p>
          <w:p w14:paraId="2CACD8A5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2. Ευθεία γραμμή στο επίπεδο</w:t>
            </w:r>
          </w:p>
          <w:p w14:paraId="7DFFF260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3. Επίπεδο και ευθεία στο χώρο</w:t>
            </w:r>
          </w:p>
          <w:p w14:paraId="5F02552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4. Καμπύλες β' βαθμού στο επίπεδο - Κωνικές τομές</w:t>
            </w:r>
          </w:p>
          <w:p w14:paraId="778A3C0B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5. Μελέτη της εξίσωσης β' βαθμού</w:t>
            </w:r>
          </w:p>
          <w:p w14:paraId="0D2E61A5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6. Πολικές συντεταγμένες</w:t>
            </w:r>
          </w:p>
          <w:p w14:paraId="47649CEE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7. Επιφάνειες</w:t>
            </w:r>
          </w:p>
          <w:p w14:paraId="79E533D2" w14:textId="77777777" w:rsidR="005565DB" w:rsidRPr="005565DB" w:rsidRDefault="005565DB" w:rsidP="005C09DA">
            <w:pPr>
              <w:rPr>
                <w:rFonts w:eastAsia="Times New Roman" w:cs="Arial"/>
                <w:snapToGrid w:val="0"/>
                <w:lang w:val="el-GR" w:eastAsia="el-GR"/>
              </w:rPr>
            </w:pPr>
            <w:r w:rsidRPr="005565DB">
              <w:rPr>
                <w:rFonts w:eastAsia="Times New Roman" w:cs="Arial"/>
                <w:snapToGrid w:val="0"/>
                <w:lang w:val="el-GR" w:eastAsia="el-GR"/>
              </w:rPr>
              <w:t>8. Στοιχεία της κλασικής διαφορικής γεωμετρίας</w:t>
            </w:r>
          </w:p>
        </w:tc>
      </w:tr>
      <w:tr w:rsidR="005565DB" w:rsidRPr="00D83343" w14:paraId="6BFF6E81" w14:textId="77777777" w:rsidTr="005C09DA"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14:paraId="08D0C345" w14:textId="77777777" w:rsidR="005565DB" w:rsidRPr="00DD61A4" w:rsidRDefault="00583D6C" w:rsidP="005C09DA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  <w:lang w:val="el-GR"/>
              </w:rPr>
              <w:lastRenderedPageBreak/>
              <w:t xml:space="preserve">Ενδεικτική </w:t>
            </w:r>
            <w:proofErr w:type="spellStart"/>
            <w:r w:rsidRPr="00DD61A4">
              <w:rPr>
                <w:rFonts w:ascii="Calibri" w:eastAsia="Calibri" w:hAnsi="Calibri" w:cs="Times New Roman"/>
                <w:i/>
              </w:rPr>
              <w:t>Βι</w:t>
            </w:r>
            <w:proofErr w:type="spellEnd"/>
            <w:r w:rsidRPr="00DD61A4">
              <w:rPr>
                <w:rFonts w:ascii="Calibri" w:eastAsia="Calibri" w:hAnsi="Calibri" w:cs="Times New Roman"/>
                <w:i/>
              </w:rPr>
              <w:t>βλιογραφία</w:t>
            </w:r>
          </w:p>
        </w:tc>
        <w:tc>
          <w:tcPr>
            <w:tcW w:w="7763" w:type="dxa"/>
            <w:tcBorders>
              <w:top w:val="single" w:sz="4" w:space="0" w:color="auto"/>
              <w:bottom w:val="single" w:sz="4" w:space="0" w:color="auto"/>
            </w:tcBorders>
          </w:tcPr>
          <w:p w14:paraId="4BDFEE81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>Α. Γραμμική Άλγεβρα</w:t>
            </w:r>
          </w:p>
          <w:p w14:paraId="68CDACCB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 xml:space="preserve">1. «Γραμμική Άλγεβρα και Αναλυτική Γεωμετρία», Δημητρίου 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</w:rPr>
              <w:t>Σουρλά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 xml:space="preserve">, Εκδόσεις Πανεπιστημίου Πατρών 2012,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ISBN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: 978-960-530-141-5. </w:t>
            </w:r>
          </w:p>
          <w:p w14:paraId="356AD119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 xml:space="preserve">2. «Γραμμική Άλγεβρα»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S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Lipschutz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and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Lipton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, Σειρά 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Schaum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 xml:space="preserve"> Εκδόσεις 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</w:rPr>
              <w:t>Τζιόλα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 xml:space="preserve"> 2005. </w:t>
            </w:r>
          </w:p>
          <w:p w14:paraId="5DE46E64" w14:textId="77777777" w:rsidR="005565D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 xml:space="preserve">3. «Γραμμική Άλγεβρα και Εφαρμογές»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Gilbert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C140B">
              <w:rPr>
                <w:rFonts w:asciiTheme="minorHAnsi" w:hAnsiTheme="minorHAnsi"/>
                <w:sz w:val="22"/>
                <w:szCs w:val="22"/>
                <w:lang w:val="en-US"/>
              </w:rPr>
              <w:t>Strang</w:t>
            </w:r>
            <w:r w:rsidRPr="00AC140B">
              <w:rPr>
                <w:rFonts w:asciiTheme="minorHAnsi" w:hAnsiTheme="minorHAnsi"/>
                <w:sz w:val="22"/>
                <w:szCs w:val="22"/>
              </w:rPr>
              <w:t>, Πανεπιστημιακές Εκδόσεις Κρήτης 1995</w:t>
            </w:r>
          </w:p>
          <w:p w14:paraId="1F6BE904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>Β. Αναλυτική Γεωμετρία</w:t>
            </w:r>
          </w:p>
          <w:p w14:paraId="09D70D82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 xml:space="preserve">1. «Αναλυτική Γεωμετρία», Σ. Α. Ανδρεαδάκης, (Συμμετρία, 1993) </w:t>
            </w:r>
          </w:p>
          <w:p w14:paraId="1A2DD98B" w14:textId="77777777" w:rsidR="005565DB" w:rsidRPr="00AC140B" w:rsidRDefault="005565DB" w:rsidP="005C09DA">
            <w:pPr>
              <w:pStyle w:val="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AC140B">
              <w:rPr>
                <w:rFonts w:asciiTheme="minorHAnsi" w:hAnsiTheme="minorHAnsi"/>
                <w:sz w:val="22"/>
                <w:szCs w:val="22"/>
              </w:rPr>
              <w:t>2. «Γραμμική '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</w:rPr>
              <w:t>Αλγεβρα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 xml:space="preserve"> και Αναλυτική Γεωμετρία», Α. </w:t>
            </w:r>
            <w:proofErr w:type="spellStart"/>
            <w:r w:rsidRPr="00AC140B">
              <w:rPr>
                <w:rFonts w:asciiTheme="minorHAnsi" w:hAnsiTheme="minorHAnsi"/>
                <w:sz w:val="22"/>
                <w:szCs w:val="22"/>
              </w:rPr>
              <w:t>Φελλούρης</w:t>
            </w:r>
            <w:proofErr w:type="spellEnd"/>
            <w:r w:rsidRPr="00AC140B">
              <w:rPr>
                <w:rFonts w:asciiTheme="minorHAnsi" w:hAnsiTheme="minorHAnsi"/>
                <w:sz w:val="22"/>
                <w:szCs w:val="22"/>
              </w:rPr>
              <w:t>, Αθήνα 1989</w:t>
            </w:r>
          </w:p>
        </w:tc>
      </w:tr>
    </w:tbl>
    <w:p w14:paraId="413F2FDE" w14:textId="77777777" w:rsidR="005565DB" w:rsidRDefault="005565DB" w:rsidP="00D4489E">
      <w:pPr>
        <w:rPr>
          <w:lang w:val="el-GR"/>
        </w:rPr>
      </w:pPr>
    </w:p>
    <w:p w14:paraId="301C2BCB" w14:textId="77777777" w:rsidR="00A11740" w:rsidRDefault="00A11740" w:rsidP="00A11740">
      <w:pPr>
        <w:rPr>
          <w:lang w:val="el-GR"/>
        </w:rPr>
      </w:pPr>
      <w:commentRangeStart w:id="0"/>
      <w:r w:rsidRPr="00A11740">
        <w:rPr>
          <w:lang w:val="el-GR"/>
        </w:rPr>
        <w:t>Η σειρά επιτυχίας των υποψηφίων καθορίζεται από</w:t>
      </w:r>
      <w:r>
        <w:rPr>
          <w:lang w:val="el-GR"/>
        </w:rPr>
        <w:t xml:space="preserve"> </w:t>
      </w:r>
      <w:r w:rsidRPr="00A11740">
        <w:rPr>
          <w:lang w:val="el-GR"/>
        </w:rPr>
        <w:t>το άθροισμα, της βαθμολογίας όλων των εξεταζόμενων μαθημάτων. Στη σειρά αυτή περιλαμβάνονται όσοι</w:t>
      </w:r>
      <w:r>
        <w:rPr>
          <w:lang w:val="el-GR"/>
        </w:rPr>
        <w:t xml:space="preserve"> </w:t>
      </w:r>
      <w:r w:rsidRPr="00A11740">
        <w:rPr>
          <w:lang w:val="el-GR"/>
        </w:rPr>
        <w:t>έχουν συγκεντρώσει συνολική βαθμολογία τουλάχιστον</w:t>
      </w:r>
      <w:r>
        <w:rPr>
          <w:lang w:val="el-GR"/>
        </w:rPr>
        <w:t xml:space="preserve"> </w:t>
      </w:r>
      <w:r w:rsidRPr="00A11740">
        <w:rPr>
          <w:lang w:val="el-GR"/>
        </w:rPr>
        <w:t>τριάντα (30) μονάδες και με την προϋπόθεση ότι έχουν</w:t>
      </w:r>
      <w:r>
        <w:rPr>
          <w:lang w:val="el-GR"/>
        </w:rPr>
        <w:t xml:space="preserve"> </w:t>
      </w:r>
      <w:r w:rsidRPr="00A11740">
        <w:rPr>
          <w:lang w:val="el-GR"/>
        </w:rPr>
        <w:t>συγκεντρώσει δέκα (10) μονάδες τουλάχιστον σε καθένα από τα τρία (3) μαθήματα.</w:t>
      </w:r>
      <w:commentRangeEnd w:id="0"/>
      <w:r>
        <w:rPr>
          <w:rStyle w:val="a3"/>
        </w:rPr>
        <w:commentReference w:id="0"/>
      </w:r>
    </w:p>
    <w:p w14:paraId="43C8E3E9" w14:textId="77777777" w:rsidR="00A11740" w:rsidRPr="00A11740" w:rsidRDefault="00A11740" w:rsidP="00A11740">
      <w:pPr>
        <w:rPr>
          <w:lang w:val="el-GR"/>
        </w:rPr>
      </w:pPr>
      <w:r>
        <w:rPr>
          <w:lang w:val="el-GR"/>
        </w:rPr>
        <w:t>Οι επιτυχόντες εγγράφονται στο 2</w:t>
      </w:r>
      <w:r w:rsidRPr="00A11740">
        <w:rPr>
          <w:vertAlign w:val="superscript"/>
          <w:lang w:val="el-GR"/>
        </w:rPr>
        <w:t>ο</w:t>
      </w:r>
      <w:r>
        <w:rPr>
          <w:lang w:val="el-GR"/>
        </w:rPr>
        <w:t xml:space="preserve"> εξάμηνο σπουδών του προπτυχιακού προγράμματος.</w:t>
      </w:r>
      <w:r w:rsidRPr="00A11740">
        <w:rPr>
          <w:lang w:val="el-GR"/>
        </w:rPr>
        <w:t xml:space="preserve"> </w:t>
      </w:r>
      <w:r w:rsidR="008C6790">
        <w:rPr>
          <w:lang w:val="el-GR"/>
        </w:rPr>
        <w:t xml:space="preserve">Τα </w:t>
      </w:r>
      <w:proofErr w:type="spellStart"/>
      <w:r w:rsidR="008C6790">
        <w:rPr>
          <w:lang w:val="el-GR"/>
        </w:rPr>
        <w:t>εξετασθέντα</w:t>
      </w:r>
      <w:proofErr w:type="spellEnd"/>
      <w:r w:rsidR="008C6790">
        <w:rPr>
          <w:lang w:val="el-GR"/>
        </w:rPr>
        <w:t xml:space="preserve"> μαθήματα κατοχυρώνονται αυτομάτως, με τον βαθμό</w:t>
      </w:r>
      <w:r w:rsidR="00583D6C">
        <w:rPr>
          <w:lang w:val="el-GR"/>
        </w:rPr>
        <w:t xml:space="preserve"> της εξέτασης, </w:t>
      </w:r>
      <w:proofErr w:type="spellStart"/>
      <w:r w:rsidR="00583D6C">
        <w:rPr>
          <w:lang w:val="el-GR"/>
        </w:rPr>
        <w:t>ανηγμένο</w:t>
      </w:r>
      <w:proofErr w:type="spellEnd"/>
      <w:r w:rsidR="00583D6C">
        <w:rPr>
          <w:lang w:val="el-GR"/>
        </w:rPr>
        <w:t xml:space="preserve"> με άριστα το 10</w:t>
      </w:r>
      <w:r w:rsidR="008C6790">
        <w:rPr>
          <w:lang w:val="el-GR"/>
        </w:rPr>
        <w:t xml:space="preserve">. </w:t>
      </w:r>
      <w:r>
        <w:rPr>
          <w:lang w:val="el-GR"/>
        </w:rPr>
        <w:t>Η</w:t>
      </w:r>
      <w:r w:rsidRPr="00A11740">
        <w:rPr>
          <w:lang w:val="el-GR"/>
        </w:rPr>
        <w:t xml:space="preserve"> κατοχύρωση </w:t>
      </w:r>
      <w:r w:rsidR="008C6790">
        <w:rPr>
          <w:lang w:val="el-GR"/>
        </w:rPr>
        <w:t xml:space="preserve">των λοιπών </w:t>
      </w:r>
      <w:r w:rsidRPr="00A11740">
        <w:rPr>
          <w:lang w:val="el-GR"/>
        </w:rPr>
        <w:t xml:space="preserve">μαθημάτων </w:t>
      </w:r>
      <w:r w:rsidR="00583D6C">
        <w:rPr>
          <w:lang w:val="el-GR"/>
        </w:rPr>
        <w:t xml:space="preserve">και εργαστηρίων </w:t>
      </w:r>
      <w:r w:rsidR="008C6790">
        <w:rPr>
          <w:lang w:val="el-GR"/>
        </w:rPr>
        <w:t xml:space="preserve">όλων των εξαμήνων </w:t>
      </w:r>
      <w:r w:rsidR="00583D6C">
        <w:rPr>
          <w:lang w:val="el-GR"/>
        </w:rPr>
        <w:t xml:space="preserve">- </w:t>
      </w:r>
      <w:r w:rsidR="008C6790">
        <w:rPr>
          <w:lang w:val="el-GR"/>
        </w:rPr>
        <w:t xml:space="preserve">συμπεριλαμβανομένου </w:t>
      </w:r>
      <w:r w:rsidR="00583D6C">
        <w:rPr>
          <w:lang w:val="el-GR"/>
        </w:rPr>
        <w:t xml:space="preserve">αυτών </w:t>
      </w:r>
      <w:r w:rsidR="008C6790">
        <w:rPr>
          <w:lang w:val="el-GR"/>
        </w:rPr>
        <w:t>του πρώτου)</w:t>
      </w:r>
      <w:r w:rsidRPr="00A11740">
        <w:rPr>
          <w:lang w:val="el-GR"/>
        </w:rPr>
        <w:t>, αποφασίζεται από την Επιτροπή Προπτυχιακών Σπουδών του Τμήματος Φυσικής</w:t>
      </w:r>
      <w:r w:rsidR="00F1274F">
        <w:rPr>
          <w:lang w:val="el-GR"/>
        </w:rPr>
        <w:t>, έπειτα από αίτηση του κάθε φοιτητή,</w:t>
      </w:r>
      <w:r w:rsidRPr="00A11740">
        <w:rPr>
          <w:lang w:val="el-GR"/>
        </w:rPr>
        <w:t xml:space="preserve"> με βάση την αναλυτική βαθμολογία του υποψηφίου</w:t>
      </w:r>
      <w:r w:rsidR="008C6790">
        <w:rPr>
          <w:lang w:val="el-GR"/>
        </w:rPr>
        <w:t xml:space="preserve"> και την ύλη </w:t>
      </w:r>
      <w:r w:rsidR="00F1274F">
        <w:rPr>
          <w:lang w:val="el-GR"/>
        </w:rPr>
        <w:t xml:space="preserve">κάθε μαθήματος όπως περιγράφεται στον οδηγό σπουδών </w:t>
      </w:r>
      <w:r w:rsidR="008C6790">
        <w:rPr>
          <w:lang w:val="el-GR"/>
        </w:rPr>
        <w:t>του Τμήματος προέλευσής του</w:t>
      </w:r>
      <w:r>
        <w:rPr>
          <w:lang w:val="el-GR"/>
        </w:rPr>
        <w:t>.</w:t>
      </w:r>
    </w:p>
    <w:sectPr w:rsidR="00A11740" w:rsidRPr="00A11740" w:rsidSect="00DC5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Αργυρίου Αθανάσιος" w:date="2022-06-20T10:42:00Z" w:initials="ΑΑ">
    <w:p w14:paraId="0CDC4155" w14:textId="77777777" w:rsidR="00A11740" w:rsidRPr="00A11740" w:rsidRDefault="00A11740">
      <w:pPr>
        <w:pStyle w:val="a4"/>
        <w:rPr>
          <w:lang w:val="el-GR"/>
        </w:rPr>
      </w:pPr>
      <w:r>
        <w:rPr>
          <w:rStyle w:val="a3"/>
        </w:rPr>
        <w:annotationRef/>
      </w:r>
      <w:r>
        <w:rPr>
          <w:lang w:val="el-GR"/>
        </w:rPr>
        <w:t>Πρόβλεψη του εσωτερικού κανονισμού. Για το λόγο αυτό προτείνω το άριστα να αντιστοιχεί σε 20 μονάδες</w:t>
      </w:r>
      <w:r w:rsidR="008C6790">
        <w:rPr>
          <w:lang w:val="el-GR"/>
        </w:rPr>
        <w:t>, ώστε το 10 να αποτελεί τη βάση.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DC41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DC4155" w16cid:durableId="283BDE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Αργυρίου Αθανάσιος">
    <w15:presenceInfo w15:providerId="None" w15:userId="Αργυρίου Αθανάσιο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9E"/>
    <w:rsid w:val="00172F9F"/>
    <w:rsid w:val="001E65D2"/>
    <w:rsid w:val="002C32B9"/>
    <w:rsid w:val="004A4881"/>
    <w:rsid w:val="005565DB"/>
    <w:rsid w:val="00583D6C"/>
    <w:rsid w:val="008A12C2"/>
    <w:rsid w:val="008C6790"/>
    <w:rsid w:val="008F7CB4"/>
    <w:rsid w:val="00A11740"/>
    <w:rsid w:val="00D340EA"/>
    <w:rsid w:val="00D4489E"/>
    <w:rsid w:val="00D83343"/>
    <w:rsid w:val="00DC51F5"/>
    <w:rsid w:val="00F1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B4E9"/>
  <w15:docId w15:val="{E84CAC2D-EDA2-4963-BF96-E9301990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11740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A1174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A11740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A11740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A11740"/>
    <w:rPr>
      <w:b/>
      <w:bCs/>
      <w:sz w:val="20"/>
      <w:szCs w:val="20"/>
    </w:rPr>
  </w:style>
  <w:style w:type="paragraph" w:styleId="Web">
    <w:name w:val="Normal (Web)"/>
    <w:basedOn w:val="a"/>
    <w:rsid w:val="005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rsid w:val="005565DB"/>
  </w:style>
  <w:style w:type="paragraph" w:customStyle="1" w:styleId="v1msonormal">
    <w:name w:val="v1msonormal"/>
    <w:basedOn w:val="a"/>
    <w:rsid w:val="005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6">
    <w:name w:val="Balloon Text"/>
    <w:basedOn w:val="a"/>
    <w:link w:val="Char1"/>
    <w:uiPriority w:val="99"/>
    <w:semiHidden/>
    <w:unhideWhenUsed/>
    <w:rsid w:val="004A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A4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Αργυρίου Αθανάσιος</dc:creator>
  <cp:lastModifiedBy>secr_3</cp:lastModifiedBy>
  <cp:revision>2</cp:revision>
  <dcterms:created xsi:type="dcterms:W3CDTF">2024-08-27T09:07:00Z</dcterms:created>
  <dcterms:modified xsi:type="dcterms:W3CDTF">2024-08-27T09:07:00Z</dcterms:modified>
</cp:coreProperties>
</file>